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Информационный бюллетень</w:t>
      </w:r>
    </w:p>
    <w:p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«Анализ динамики бытовых отравлений, в том числе алкоголем, со смертельным исходом  в Тюменской области за 2020 г.»</w:t>
      </w:r>
    </w:p>
    <w:p>
      <w:pPr>
        <w:pStyle w:val="ConsPlusTitle"/>
        <w:widowControl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 токсикологического мониторинга Управления Роспотребнадзора по Тюменской области в 2020 году зарегистрировано 1145 случаев острых отравлений химической этиологии, показатель составил 74,5 на 100 тыс.населения (2019 г.- 100,5; 2018 г.- 108,1), в том числе с летальным исходом  360 случаев, показатель –23,4 на 100 тыс. населения (в 2019 г. -24,1; в 2018г. –20,0).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Снижение показателя острых отравлений в сравнении с 2019 г. произошло на 25,9%, в том числе  и показателя отравлений с летальным исходом на 2,9%.  По итогам  2020 г. показатели острых отравлений по Тюменской области  стали ниже показателей  по РФ, но количество случаев с летальным исходом остается выше среднего уровня по Российской Федерации (табл. №1). </w:t>
      </w:r>
    </w:p>
    <w:p>
      <w:pPr>
        <w:pStyle w:val="2"/>
        <w:jc w:val="right"/>
        <w:rPr>
          <w:b w:val="false"/>
          <w:b w:val="false"/>
          <w:color w:val="C00000"/>
          <w:szCs w:val="24"/>
        </w:rPr>
      </w:pPr>
      <w:r>
        <w:rPr>
          <w:b w:val="false"/>
          <w:szCs w:val="24"/>
        </w:rPr>
        <w:t>Таблица № 1</w:t>
      </w:r>
    </w:p>
    <w:p>
      <w:pPr>
        <w:pStyle w:val="2"/>
        <w:rPr>
          <w:sz w:val="22"/>
          <w:szCs w:val="22"/>
        </w:rPr>
      </w:pPr>
      <w:r>
        <w:rPr>
          <w:sz w:val="22"/>
          <w:szCs w:val="22"/>
        </w:rPr>
        <w:t>Динамика острых отравлений химической этиологии населения</w:t>
      </w:r>
    </w:p>
    <w:p>
      <w:pPr>
        <w:pStyle w:val="2"/>
        <w:rPr>
          <w:sz w:val="22"/>
          <w:szCs w:val="22"/>
        </w:rPr>
      </w:pPr>
      <w:r>
        <w:rPr>
          <w:sz w:val="22"/>
          <w:szCs w:val="22"/>
        </w:rPr>
        <w:t>Тюменской области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63"/>
        <w:gridCol w:w="865"/>
        <w:gridCol w:w="973"/>
        <w:gridCol w:w="804"/>
        <w:gridCol w:w="937"/>
        <w:gridCol w:w="990"/>
        <w:gridCol w:w="1181"/>
        <w:gridCol w:w="1823"/>
      </w:tblGrid>
      <w:tr>
        <w:trPr>
          <w:trHeight w:val="463" w:hRule="atLeast"/>
        </w:trPr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РФ, 2019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100 тыс. населения.</w:t>
            </w:r>
          </w:p>
        </w:tc>
      </w:tr>
      <w:tr>
        <w:trPr>
          <w:trHeight w:val="652" w:hRule="atLeast"/>
        </w:trPr>
        <w:tc>
          <w:tcPr>
            <w:tcW w:w="20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 (чел)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100 тыс. нас.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 (чел)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100 тыс. нас.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   (чел)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100 тыс. нас.</w:t>
            </w:r>
          </w:p>
        </w:tc>
        <w:tc>
          <w:tcPr>
            <w:tcW w:w="18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098" w:hRule="atLeast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Острые отравления химической этиологии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92,9</w:t>
            </w:r>
          </w:p>
        </w:tc>
      </w:tr>
      <w:tr>
        <w:trPr>
          <w:trHeight w:val="892" w:hRule="atLeast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них с летальным исходом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16,1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color w:val="5F497A"/>
          <w:sz w:val="24"/>
          <w:szCs w:val="24"/>
          <w:highlight w:val="yellow"/>
        </w:rPr>
      </w:pPr>
      <w:r>
        <w:rPr>
          <w:rFonts w:ascii="Times New Roman" w:hAnsi="Times New Roman"/>
          <w:b/>
          <w:color w:val="5F497A"/>
          <w:sz w:val="24"/>
          <w:szCs w:val="24"/>
          <w:highlight w:val="yellow"/>
        </w:rPr>
      </w:r>
    </w:p>
    <w:p>
      <w:pPr>
        <w:pStyle w:val="2"/>
        <w:jc w:val="both"/>
        <w:rPr>
          <w:b w:val="false"/>
          <w:b w:val="false"/>
          <w:sz w:val="22"/>
          <w:szCs w:val="22"/>
        </w:rPr>
      </w:pPr>
      <w:r>
        <w:rPr/>
        <w:drawing>
          <wp:inline distT="0" distB="0" distL="0" distR="0">
            <wp:extent cx="6038850" cy="3171825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2"/>
        <w:rPr>
          <w:color w:val="5F497A"/>
          <w:szCs w:val="24"/>
          <w:highlight w:val="yellow"/>
        </w:rPr>
      </w:pPr>
      <w:r>
        <w:rPr>
          <w:b w:val="false"/>
          <w:sz w:val="22"/>
          <w:szCs w:val="22"/>
        </w:rPr>
        <w:t>Рис. 1. Количество острых отравлений химической этиологии</w:t>
      </w:r>
    </w:p>
    <w:p>
      <w:pPr>
        <w:pStyle w:val="2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в 2017-2020 гг.(абс.число)</w:t>
      </w:r>
    </w:p>
    <w:p>
      <w:pPr>
        <w:pStyle w:val="Normal"/>
        <w:spacing w:lineRule="auto" w:line="240" w:before="0" w:after="0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структуре острых отравлений химической этиологии в 2020 г. ведущее место также, как и в прошлом году,  занимают отравления  лекарственными препаратами (28,5%), на втором месте -  отравления спиртосодержащей продукцией (24,6%), далее – отравления другими мониторируемыми видами (в данную подгруппу входят отравления: разъедающими веществами, уксусной эссенцией,  окисью углерода,  другими газами и парами, не уточненными веществами) на долю которых приходится 24,2% от всех случаев отравлений; наркотическими веществами – 19,6%; оставшаяся доля отравлений (0,7%) приходится на пищевые отравления (отравления грибами, ядовитыми растениями и др.) (рис.2).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/>
        <w:drawing>
          <wp:inline distT="0" distB="0" distL="0" distR="0">
            <wp:extent cx="4838700" cy="2876550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</w:p>
    <w:p>
      <w:pPr>
        <w:pStyle w:val="ListParagraph"/>
        <w:jc w:val="center"/>
        <w:rPr>
          <w:sz w:val="22"/>
          <w:szCs w:val="22"/>
        </w:rPr>
      </w:pPr>
      <w:r>
        <w:rPr>
          <w:sz w:val="22"/>
          <w:szCs w:val="22"/>
        </w:rPr>
        <w:t>Рис. 2. Структура острых отравлений химической этиологии по видам отравлений</w:t>
      </w:r>
    </w:p>
    <w:p>
      <w:pPr>
        <w:pStyle w:val="ListParagraph"/>
        <w:jc w:val="center"/>
        <w:rPr>
          <w:sz w:val="22"/>
          <w:szCs w:val="22"/>
        </w:rPr>
      </w:pPr>
      <w:r>
        <w:rPr>
          <w:sz w:val="22"/>
          <w:szCs w:val="22"/>
        </w:rPr>
        <w:t>населения  Тюменской области в 2018-2020 гг.</w:t>
      </w:r>
    </w:p>
    <w:p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 году показатели, превышающие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среднеобластные значения,  регистрировались в следующих районах: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Тобольский район – на 32,3% (98,57 на 100 тыс. населения);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Тобольск – на23,8% (97,7 на 100 тыс. населения);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Голышмановский ГО - на 18,6 % (91,47 на 100 тыс. населения);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Тюмень – на 11,7 % (84,36 на 100 тыс. населения);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Вагайский район – на 10,4% (83,19 на 100 тыс. населения);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Ишимский район – на 7,5% (80,56 на 100 тыс. населения);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Викуловский район – на 6,2 % (79,43 на 100 тыс. населения);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Бердюжский район – на 1,1 %  (75,34 на 100 тыс. населения);</w:t>
      </w:r>
    </w:p>
    <w:p>
      <w:pPr>
        <w:pStyle w:val="ListParagraph"/>
        <w:tabs>
          <w:tab w:val="clear" w:pos="708"/>
          <w:tab w:val="left" w:pos="567" w:leader="none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2020 г. в Тюменской области зарегистрировано 307 случаев отравлений спиртосодержащей продукцией, что на 18,1% меньше, чем в 2019 г. (2019г. – 375 случаев; 2018 г. – 420 случая;). В  г. Тюмени количество отравлений алкоголем составило 151 случай  (2019 г.- 195; 2018 г. – 257) . На  других территориях области зарегистрировано отравлений : г. Ишим – 24 случая (2019 г.-32; 2018 г. - 41); г. Тобольск – 14 случаев (2019 г. – 27; 2018 г. – 15); Тюменский район – 32 случая (2019 г. – 32; 2018 г.- 25); Ишимский район – 14 случаев (2019 г.-11; 2018 г. - 19)  (табл. № 2)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Среднеобластной показатель отравлений спиртосодержащей продукцией в 2019 г. снизился и составил 20,0  на 100 тыс. населения (2019 г. - 24,7 по области; 34,5 -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РФ).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Среднеобластной показатель отравлений наркотическими веществами в 2020 г. составил – 14,6  на 100 тыс. населения, что выше показателя 2019 г. на 24,6% (2019 г.- 11,0  на 100 тыс. населения) (РФ – 12,4 на 100 тыс. населения, 2019 г.). Наиболее высокие  показатели в 2020 году были зарегистрированы  в г. Тюмени – 185 случаев  (показатель 22,9 на 100 тыс. населения),  г. Тобольске - 14 случаев (показатель 24,4 на 100 тыс. населения) и в г. Ишиме – 24 случая (показатель 3,1 на 100 тыс. населения) (табл.2).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2"/>
        <w:jc w:val="right"/>
        <w:rPr>
          <w:b w:val="false"/>
          <w:b w:val="false"/>
        </w:rPr>
      </w:pPr>
      <w:r>
        <w:rPr>
          <w:b w:val="false"/>
        </w:rPr>
        <w:t>Таблица № 2</w:t>
      </w:r>
    </w:p>
    <w:p>
      <w:pPr>
        <w:pStyle w:val="2"/>
        <w:rPr/>
      </w:pPr>
      <w:r>
        <w:rPr/>
        <w:t>Характеристика отравлений спиртосодержащей продукцией и наркотическими веществами за 2020 год в разрезе районов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tbl>
      <w:tblPr>
        <w:tblW w:w="988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59"/>
        <w:gridCol w:w="1904"/>
        <w:gridCol w:w="1908"/>
        <w:gridCol w:w="1904"/>
        <w:gridCol w:w="1909"/>
      </w:tblGrid>
      <w:tr>
        <w:trPr>
          <w:tblHeader w:val="true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-250" w:leader="none"/>
                <w:tab w:val="left" w:pos="851" w:leader="none"/>
              </w:tabs>
              <w:spacing w:lineRule="auto" w:line="240" w:before="0" w:after="0"/>
              <w:ind w:left="-108" w:firstLine="141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Муниципальное образование</w:t>
            </w: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851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Отравления спиртосодержащей продукцией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851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Отравления наркотическими веществами</w:t>
            </w:r>
          </w:p>
        </w:tc>
      </w:tr>
      <w:tr>
        <w:trPr>
          <w:tblHeader w:val="true"/>
        </w:trPr>
        <w:tc>
          <w:tcPr>
            <w:tcW w:w="2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851" w:leader="none"/>
              </w:tabs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851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851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со смертельным исходом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851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851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со смертельным исходом</w:t>
            </w:r>
          </w:p>
        </w:tc>
      </w:tr>
      <w:tr>
        <w:trPr/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г.Тюмень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</w:tr>
      <w:tr>
        <w:trPr/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г.Ишим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/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Ишимский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/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г.Тобольск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>
        <w:trPr/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Абатский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/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Армизонский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/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Аромашевский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/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Бердюжский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/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Вагайский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/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Викуловский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/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Голышмановский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/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Заводоуковский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/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Исетский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/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Казанский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/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Нижнетавдинский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/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Омутинский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/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Сладковский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/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Сорокинский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/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Тобольский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/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Тюменский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rPr/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Уватский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/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Упоровский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/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Юргинский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/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Ялуторовск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/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Ялуторовский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/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Ярковский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/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307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139</w:t>
            </w:r>
          </w:p>
        </w:tc>
      </w:tr>
    </w:tbl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Показатель острых отравлений лекарственными препаратами в Тюменской области  в 2020 году составил 21,3 случая на 100 тыс. населения (327 случаев), занимая в структуре всех отравлений первое ранговое место.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Острые отравления лекарственными препаратами являются наиболее актуальными для детей и подростков - в данной возрастной группе занимают первое место в общей структуре отравлений (58 % от общего числа отравлений у детей и 49 % - у подростков).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причинами отравлений лекарственными препаратами являлись: прием психотропных средств (Т42 и Т43), препаратов, действующих преимущественно на отравления неопиоидными анельгизирующими, жаропонижающими и противоревматическими средствами (Т39).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анализе половозрастных рисков развития острых отравлений  среди населения Тюменской области установлено, что среди отравившихся приоритетное место занимает взрослое население (18 лет и старше) -82,2 %, удельный вес детей (0-14 лет) составил – 13,2%, подростков (15-17 лет) – 4,6%.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гендерному соотношению среди пострадавших во всех возрастных группах превалируют мужчины 66,0%. Преобладание мужчин особенно выражено в группе отравлений, вызванных токсическим действием наркотических препаратов (91,0% мужчин) и спиртосодержащей продукцией (74% мужчин).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анализе острых химических отравлений </w:t>
      </w:r>
      <w:r>
        <w:rPr>
          <w:rFonts w:ascii="Times New Roman" w:hAnsi="Times New Roman"/>
          <w:b/>
          <w:i/>
          <w:sz w:val="24"/>
          <w:szCs w:val="24"/>
        </w:rPr>
        <w:t>по возрастным группам</w:t>
      </w:r>
      <w:r>
        <w:rPr>
          <w:rFonts w:ascii="Times New Roman" w:hAnsi="Times New Roman"/>
          <w:sz w:val="24"/>
          <w:szCs w:val="24"/>
        </w:rPr>
        <w:t xml:space="preserve"> в 2020 г. в сравнении с предыдущим годом отмечается  увеличение показателей  во всех возрастных группах (табл. № 3).</w:t>
      </w:r>
    </w:p>
    <w:p>
      <w:pPr>
        <w:pStyle w:val="2"/>
        <w:jc w:val="right"/>
        <w:rPr>
          <w:b w:val="false"/>
          <w:b w:val="false"/>
        </w:rPr>
      </w:pPr>
      <w:r>
        <w:rPr>
          <w:b w:val="false"/>
        </w:rPr>
        <w:t>Таблица № 3</w:t>
      </w:r>
    </w:p>
    <w:p>
      <w:pPr>
        <w:pStyle w:val="2"/>
        <w:rPr/>
      </w:pPr>
      <w:r>
        <w:rPr/>
        <w:t>Динамика острых отравлений химической этиологии по возрастным группам</w:t>
      </w:r>
    </w:p>
    <w:p>
      <w:pPr>
        <w:pStyle w:val="2"/>
        <w:rPr/>
      </w:pPr>
      <w:r>
        <w:rPr/>
        <w:t>(на 100 тыс. населения)</w:t>
      </w:r>
    </w:p>
    <w:tbl>
      <w:tblPr>
        <w:tblpPr w:bottomFromText="0" w:horzAnchor="margin" w:leftFromText="180" w:rightFromText="180" w:tblpX="0" w:tblpXSpec="center" w:tblpY="248" w:topFromText="0" w:vertAnchor="text"/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2"/>
        <w:gridCol w:w="2191"/>
        <w:gridCol w:w="969"/>
        <w:gridCol w:w="1214"/>
        <w:gridCol w:w="1028"/>
        <w:gridCol w:w="1214"/>
        <w:gridCol w:w="1049"/>
        <w:gridCol w:w="1429"/>
      </w:tblGrid>
      <w:tr>
        <w:trPr>
          <w:trHeight w:val="390" w:hRule="atLeast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Возрастные группы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г.</w:t>
            </w:r>
          </w:p>
        </w:tc>
      </w:tr>
      <w:tr>
        <w:trPr>
          <w:trHeight w:val="916" w:hRule="atLeast"/>
        </w:trPr>
        <w:tc>
          <w:tcPr>
            <w:tcW w:w="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показа-тель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удельный   вес, 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показа-тель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вес, %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показа-тель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вес, %</w:t>
            </w:r>
          </w:p>
        </w:tc>
      </w:tr>
      <w:tr>
        <w:trPr>
          <w:trHeight w:val="591" w:hRule="atLeast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Взрослое население (18 лет и старше)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82,2</w:t>
            </w:r>
          </w:p>
        </w:tc>
      </w:tr>
      <w:tr>
        <w:trPr>
          <w:trHeight w:val="1234" w:hRule="atLeast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Подростковое население (15-17 лет включительно)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</w:tr>
      <w:tr>
        <w:trPr>
          <w:trHeight w:val="844" w:hRule="atLeast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Детское население (0-14 лет включительно)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13,2</w:t>
            </w:r>
          </w:p>
        </w:tc>
      </w:tr>
      <w:tr>
        <w:trPr>
          <w:trHeight w:val="239" w:hRule="atLeast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население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Среди </w:t>
      </w:r>
      <w:r>
        <w:rPr>
          <w:rFonts w:ascii="Times New Roman" w:hAnsi="Times New Roman"/>
          <w:b/>
          <w:i/>
          <w:sz w:val="24"/>
          <w:szCs w:val="24"/>
        </w:rPr>
        <w:t xml:space="preserve">социальных групп </w:t>
      </w:r>
      <w:r>
        <w:rPr>
          <w:rFonts w:ascii="Times New Roman" w:hAnsi="Times New Roman"/>
          <w:sz w:val="24"/>
          <w:szCs w:val="24"/>
        </w:rPr>
        <w:t xml:space="preserve"> большая часть отравлений приходится на  безработное население (44,2%), на втором месте – работающее население (18,4%), на третьем – пенсионеры (16,9%) (рис. 3).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/>
        <w:drawing>
          <wp:inline distT="0" distB="0" distL="0" distR="0">
            <wp:extent cx="5876925" cy="2828925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Рис. 3.  Удельный вес отравлений химической этиологии в разрезе социальной структуры населения за 2020 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структуре обстоятельств острых химических отравлений в быту в 2020 году  преобладали случайные отравления – 58,0%, (в результате ошибочного приема, самолечения, отравления угарным газом при пожарах, непереносимости или побочного действия химических веществ и др.); 35,6% - отравления были преднамеренными, в т.ч. суицидальные, наркотические, с целью одурманивания (рис. 4).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  <w:r>
        <w:rPr/>
        <w:drawing>
          <wp:inline distT="0" distB="0" distL="0" distR="0">
            <wp:extent cx="4324350" cy="1409700"/>
            <wp:effectExtent l="0" t="0" r="0" b="0"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Рис. 4. Удельный вес острых отравлений химической этиологии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по обстоятельствам  отравлений за 2020 г.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Смертность от острых отравлений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В 2020 году зарегистрировано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360 случаев отравлений с летальным исходом, что составляет 31,4% от общего количества отравлений химической этиологии (в 2019 г. – 24,4%).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Показатель смертности населения от острых отравлений в быту в 2020 году составил 23,42 случая  на 100 тыс. населения, снижение  на  2,8% по сравнению с 2019годом – 24,1 случаев на 100 тыс. населения,   что все равно превышает  показатель по РФ (16,1 на 100 тыс. населения в 2019 г.).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Ведущее место в структуре причин смерти от отравлений занимают отравления спиртосодержащей продукцией – 41,6%; далее – наркотическими веществами – 38,6%;  другими мониторируемыми видами – 15,8% (среди них основная часть летальных исходов приходится на отравления окисью углерода и действие других газов, дымов и паров – 38,5%, а также разъедающими веществами, кислотами и кислотоподобными веществами – 35,1%; 26,4% составляют отравления, случившиеся в результате токсического действия других и неуточненных веществ)  (рис. 5).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/>
        <w:drawing>
          <wp:inline distT="0" distB="0" distL="0" distR="0">
            <wp:extent cx="5133975" cy="3190875"/>
            <wp:effectExtent l="0" t="0" r="0" b="0"/>
            <wp:docPr id="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Рис. 5.  Структура острых отравлений химической этиологии с летальным исходом по видам отравлений населения Тюменской области за 2020 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Показатель смертности на 100 тыс. населения от острых отравлений спиртосодержащей продукцией в 2020 году составил 11,64 на 100 тыс. населения (2019 г. – 11,8; по РФ – 7,6);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от отравлений наркотическими веществами – на 100 тыс. населения (2019 г.- 6,3;  РФ – 3,2).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детского (0-14 лет) и подросткового (15-17 лет) населения отравлений спиртосодержащей продукцией с летальным исходом не зарегистрировано.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группе отравлений наркотическими веществами в 2020 году были зарегистрированы  2 случая с летальным исходом среди подросткового  населения (15-17 лет) области.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Выводы: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2020 году по результатам ведения токсикологического мониторинга в Тюменской области зарегистрировано 1145 случаев острых отравлений химической этиологии, из них с летальным исходом – 360 (31%). В 2020 г. в сравнении с 2019 г. показатель острых отравлений химической этиологии (на 100 тыс. населения) снизился  на  25,9%, в том числе показатель смертности от данного вида отравлений на 2,8%, но продолжает превышать  показатель по РФ;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структуре острых отравлений химической этиологии преобладали острые отравления лекарственными препаратами;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гендерному соотношению среди пострадавших во всех возрастных группах населения превалируют мужчины (66%);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возрастному составу среди отравившихся приоритетное место занимает взрослое население (82,2%); удельный вес детей – 13,2%;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социальному положению 49,9% пострадавших определили безработные;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Обстоятельства отравления в 58% носили случайный характер;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Наиболее частыми причинами отравлений среди детей и подростков остается употребление лекарственных препаратов – 58% и 49% соответственно;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структуре летальных исходов преобладали острые отравления спиртосодержащей продукцией (41,6%);</w:t>
      </w:r>
    </w:p>
    <w:p>
      <w:pPr>
        <w:pStyle w:val="ListParagraph"/>
        <w:ind w:lef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снижения уровня распространенности и смертности от острых отравлений химической этиологии среди населения в быту и их профилактике, особенно у детей и подростков, рекомендовать органам исполнительной власти и местного самоуправления: 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Рассмотреть вопросы о состоянии распространенности на территории городских округов и муниципальных образований острых отравлений химической этиологии среди населения в быту, особенно среди детей и подростков, состоянии здоровья и смертности населения от причин, связанных с употреблением алкоголя, наркотиков, галлюциногенов, о состоянии оборота алкогольной продукции и спиртосодержащих жидкостей;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мероприятий, направленных на предупреждение негативного влияния алкогольной продукции на здоровье населения; 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Разработать и реализовать мероприятия по снижению уровня острых отравлений химической этиологии среди населения в быту и смертности от них, уделив особое внимание детям и подросткам (организация досуга населения, появление новых рабочих мест, активная пропаганда здорового образа жизни в школах, на предприятиях, в средствах массовой информации и т.д.);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и формирование мотивации для ведения здорового образа жизни;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Осуществление в образовательных учреждениях профилактических программ, направленных на недопущение потребления алкоголя детьми и подростками; 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 активно вовлекать школьников в различные детские культурно-спортивные учреждения, проводить массовые мероприятия с целью пропаганды здорового, безопасного образа жизни; 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Осуществление регламентации доступности для населения сильнодействующих лекарственных форм; 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Усиление действенного контроля за оборотом алкогольной продукции, в том числе по обеспечению ее недоступности несовершеннолетним; 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Усиление работы по выявлению и пресечению незаконной реализации суррогатов алкоголя;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Усиление работы средств массовой информации по информированию </w:t>
      </w:r>
      <w:r>
        <w:rPr>
          <w:rFonts w:eastAsia="Calibri" w:eastAsiaTheme="minorHAnsi"/>
          <w:sz w:val="24"/>
          <w:szCs w:val="24"/>
          <w:lang w:eastAsia="en-US"/>
        </w:rPr>
        <w:t>о последствиях злоупотребления алкогольной продукцией и применения наркотических средств, а также</w:t>
      </w:r>
      <w:r>
        <w:rPr>
          <w:sz w:val="24"/>
          <w:szCs w:val="24"/>
        </w:rPr>
        <w:t xml:space="preserve"> о порядке оказания наркологической помощи, о современных методах профилактики, диагностики, лечения и реабилитации при заболеваниях наркологического профиля.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*При уточнении численности населения показатели могут несколько изменяться.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b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b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b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b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b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b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b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b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b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b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b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b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b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b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b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b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b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b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b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b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b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b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</w:r>
      <w:r>
        <w:br w:type="page"/>
      </w:r>
    </w:p>
    <w:p>
      <w:pPr>
        <w:pStyle w:val="Normal"/>
        <w:spacing w:lineRule="auto" w:line="240" w:before="0" w:after="0"/>
        <w:ind w:firstLine="72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Сравнительные данные о количестве  отравлений спиртосодержащей продукцией  населения Тюменской области 2018-2020 гг.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b/>
          <w:b/>
          <w:highlight w:val="yellow"/>
        </w:rPr>
      </w:pPr>
      <w:r>
        <w:rPr>
          <w:rFonts w:ascii="Times New Roman" w:hAnsi="Times New Roman"/>
          <w:b/>
          <w:highlight w:val="yellow"/>
        </w:rPr>
      </w:r>
    </w:p>
    <w:tbl>
      <w:tblPr>
        <w:tblW w:w="9762" w:type="dxa"/>
        <w:jc w:val="left"/>
        <w:tblInd w:w="9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01"/>
        <w:gridCol w:w="708"/>
        <w:gridCol w:w="992"/>
        <w:gridCol w:w="710"/>
        <w:gridCol w:w="992"/>
        <w:gridCol w:w="709"/>
        <w:gridCol w:w="1134"/>
        <w:gridCol w:w="1275"/>
        <w:gridCol w:w="1240"/>
      </w:tblGrid>
      <w:tr>
        <w:trPr>
          <w:tblHeader w:val="true"/>
          <w:trHeight w:val="285" w:hRule="atLeast"/>
        </w:trPr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Отравления спиртосодержащей продукцией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Темп прироста/ снижения  2018/2020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Темп прироста/ снижения  2018/2020</w:t>
            </w:r>
          </w:p>
        </w:tc>
      </w:tr>
      <w:tr>
        <w:trPr>
          <w:tblHeader w:val="true"/>
          <w:trHeight w:val="285" w:hRule="atLeast"/>
        </w:trPr>
        <w:tc>
          <w:tcPr>
            <w:tcW w:w="20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</w:p>
        </w:tc>
      </w:tr>
      <w:tr>
        <w:trPr>
          <w:tblHeader w:val="true"/>
          <w:trHeight w:val="285" w:hRule="atLeast"/>
        </w:trPr>
        <w:tc>
          <w:tcPr>
            <w:tcW w:w="20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 смертельным исходом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 смертельным исходом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 смертельным исходом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 смертельным исходом</w:t>
            </w:r>
          </w:p>
        </w:tc>
      </w:tr>
      <w:tr>
        <w:trPr>
          <w:trHeight w:val="285" w:hRule="atLeast"/>
        </w:trPr>
        <w:tc>
          <w:tcPr>
            <w:tcW w:w="20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г.Тюмень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-41,25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-25,68</w:t>
            </w:r>
          </w:p>
        </w:tc>
      </w:tr>
      <w:tr>
        <w:trPr>
          <w:trHeight w:val="264" w:hRule="atLeast"/>
        </w:trPr>
        <w:tc>
          <w:tcPr>
            <w:tcW w:w="2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г.Ишим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-41,46</w:t>
            </w:r>
          </w:p>
        </w:tc>
        <w:tc>
          <w:tcPr>
            <w:tcW w:w="12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-80,00</w:t>
            </w:r>
          </w:p>
        </w:tc>
      </w:tr>
      <w:tr>
        <w:trPr>
          <w:trHeight w:val="285" w:hRule="atLeast"/>
        </w:trPr>
        <w:tc>
          <w:tcPr>
            <w:tcW w:w="2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г.Тобольск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-26,32</w:t>
            </w:r>
          </w:p>
        </w:tc>
        <w:tc>
          <w:tcPr>
            <w:tcW w:w="12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>
        <w:trPr>
          <w:trHeight w:val="285" w:hRule="atLeast"/>
        </w:trPr>
        <w:tc>
          <w:tcPr>
            <w:tcW w:w="2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Абатский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-6,67</w:t>
            </w:r>
          </w:p>
        </w:tc>
        <w:tc>
          <w:tcPr>
            <w:tcW w:w="12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>
        <w:trPr>
          <w:trHeight w:val="379" w:hRule="atLeast"/>
        </w:trPr>
        <w:tc>
          <w:tcPr>
            <w:tcW w:w="2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Армизонский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133,33</w:t>
            </w:r>
          </w:p>
        </w:tc>
        <w:tc>
          <w:tcPr>
            <w:tcW w:w="12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>
        <w:trPr>
          <w:trHeight w:val="400" w:hRule="atLeast"/>
        </w:trPr>
        <w:tc>
          <w:tcPr>
            <w:tcW w:w="2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Аромашевский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-50,00</w:t>
            </w:r>
          </w:p>
        </w:tc>
        <w:tc>
          <w:tcPr>
            <w:tcW w:w="12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-66,67</w:t>
            </w:r>
          </w:p>
        </w:tc>
      </w:tr>
      <w:tr>
        <w:trPr>
          <w:trHeight w:val="277" w:hRule="atLeast"/>
        </w:trPr>
        <w:tc>
          <w:tcPr>
            <w:tcW w:w="2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Бердюжский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>
        <w:trPr>
          <w:trHeight w:val="285" w:hRule="atLeast"/>
        </w:trPr>
        <w:tc>
          <w:tcPr>
            <w:tcW w:w="2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Вагайский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>
        <w:trPr>
          <w:trHeight w:val="229" w:hRule="atLeast"/>
        </w:trPr>
        <w:tc>
          <w:tcPr>
            <w:tcW w:w="2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Викуловский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266,67</w:t>
            </w:r>
          </w:p>
        </w:tc>
      </w:tr>
      <w:tr>
        <w:trPr>
          <w:trHeight w:val="371" w:hRule="atLeast"/>
        </w:trPr>
        <w:tc>
          <w:tcPr>
            <w:tcW w:w="2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Голышмановский ГО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2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</w:tr>
      <w:tr>
        <w:trPr>
          <w:trHeight w:val="405" w:hRule="atLeast"/>
        </w:trPr>
        <w:tc>
          <w:tcPr>
            <w:tcW w:w="2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Заводоуковский ГО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-100,00</w:t>
            </w:r>
          </w:p>
        </w:tc>
      </w:tr>
      <w:tr>
        <w:trPr>
          <w:trHeight w:val="285" w:hRule="atLeast"/>
        </w:trPr>
        <w:tc>
          <w:tcPr>
            <w:tcW w:w="2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Исетский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-36,36</w:t>
            </w:r>
          </w:p>
        </w:tc>
        <w:tc>
          <w:tcPr>
            <w:tcW w:w="12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-33,33</w:t>
            </w:r>
          </w:p>
        </w:tc>
      </w:tr>
      <w:tr>
        <w:trPr>
          <w:trHeight w:val="285" w:hRule="atLeast"/>
        </w:trPr>
        <w:tc>
          <w:tcPr>
            <w:tcW w:w="2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Ишимский 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-75,00</w:t>
            </w:r>
          </w:p>
        </w:tc>
        <w:tc>
          <w:tcPr>
            <w:tcW w:w="12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-75,00</w:t>
            </w:r>
          </w:p>
        </w:tc>
      </w:tr>
      <w:tr>
        <w:trPr>
          <w:trHeight w:val="285" w:hRule="atLeast"/>
        </w:trPr>
        <w:tc>
          <w:tcPr>
            <w:tcW w:w="2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Казанский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>
        <w:trPr>
          <w:trHeight w:val="363" w:hRule="atLeast"/>
        </w:trPr>
        <w:tc>
          <w:tcPr>
            <w:tcW w:w="2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Нижнетавдинский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>
        <w:trPr>
          <w:trHeight w:val="323" w:hRule="atLeast"/>
        </w:trPr>
        <w:tc>
          <w:tcPr>
            <w:tcW w:w="2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Омутинский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-100,00</w:t>
            </w:r>
          </w:p>
        </w:tc>
      </w:tr>
      <w:tr>
        <w:trPr>
          <w:trHeight w:val="413" w:hRule="atLeast"/>
        </w:trPr>
        <w:tc>
          <w:tcPr>
            <w:tcW w:w="2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Сладковский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-100,00</w:t>
            </w:r>
          </w:p>
        </w:tc>
      </w:tr>
      <w:tr>
        <w:trPr>
          <w:trHeight w:val="277" w:hRule="atLeast"/>
        </w:trPr>
        <w:tc>
          <w:tcPr>
            <w:tcW w:w="2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Сорокинский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66,67</w:t>
            </w:r>
          </w:p>
        </w:tc>
        <w:tc>
          <w:tcPr>
            <w:tcW w:w="12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>
        <w:trPr>
          <w:trHeight w:val="395" w:hRule="atLeast"/>
        </w:trPr>
        <w:tc>
          <w:tcPr>
            <w:tcW w:w="2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Тобольский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2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>
        <w:trPr>
          <w:trHeight w:val="402" w:hRule="atLeast"/>
        </w:trPr>
        <w:tc>
          <w:tcPr>
            <w:tcW w:w="2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Тюменский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12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81,82</w:t>
            </w:r>
          </w:p>
        </w:tc>
      </w:tr>
      <w:tr>
        <w:trPr>
          <w:trHeight w:val="285" w:hRule="atLeast"/>
        </w:trPr>
        <w:tc>
          <w:tcPr>
            <w:tcW w:w="2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Уватский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-66,67</w:t>
            </w:r>
          </w:p>
        </w:tc>
      </w:tr>
      <w:tr>
        <w:trPr>
          <w:trHeight w:val="384" w:hRule="atLeast"/>
        </w:trPr>
        <w:tc>
          <w:tcPr>
            <w:tcW w:w="2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Упоровский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2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Юргинский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2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Ялуторовск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>
        <w:trPr>
          <w:trHeight w:val="407" w:hRule="atLeast"/>
        </w:trPr>
        <w:tc>
          <w:tcPr>
            <w:tcW w:w="2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Ялуторовский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>
        <w:trPr>
          <w:trHeight w:val="285" w:hRule="atLeast"/>
        </w:trPr>
        <w:tc>
          <w:tcPr>
            <w:tcW w:w="2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Ярковский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-33,33</w:t>
            </w:r>
          </w:p>
        </w:tc>
        <w:tc>
          <w:tcPr>
            <w:tcW w:w="12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-50,00</w:t>
            </w:r>
          </w:p>
        </w:tc>
      </w:tr>
      <w:tr>
        <w:trPr>
          <w:trHeight w:val="555" w:hRule="atLeast"/>
        </w:trPr>
        <w:tc>
          <w:tcPr>
            <w:tcW w:w="2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 области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375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179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-26,90</w:t>
            </w:r>
          </w:p>
        </w:tc>
        <w:tc>
          <w:tcPr>
            <w:tcW w:w="12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10,49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highlight w:val="yellow"/>
        </w:rPr>
      </w:pPr>
      <w:r>
        <w:rPr>
          <w:rFonts w:ascii="Times New Roman" w:hAnsi="Times New Roman"/>
          <w:b/>
          <w:highlight w:val="yellow"/>
        </w:rPr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Сравнительные данные о количестве  отравлений наркотическими веществами  населения Тюменской области 2018-2020 гг.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</w:r>
    </w:p>
    <w:tbl>
      <w:tblPr>
        <w:tblW w:w="5000" w:type="pct"/>
        <w:jc w:val="center"/>
        <w:tblInd w:w="0" w:type="dxa"/>
        <w:tblCellMar>
          <w:top w:w="15" w:type="dxa"/>
          <w:left w:w="98" w:type="dxa"/>
          <w:bottom w:w="0" w:type="dxa"/>
          <w:right w:w="98" w:type="dxa"/>
        </w:tblCellMar>
        <w:tblLook w:firstRow="1" w:noVBand="1" w:lastRow="0" w:firstColumn="1" w:lastColumn="0" w:noHBand="0" w:val="04a0"/>
      </w:tblPr>
      <w:tblGrid>
        <w:gridCol w:w="2442"/>
        <w:gridCol w:w="745"/>
        <w:gridCol w:w="1613"/>
        <w:gridCol w:w="941"/>
        <w:gridCol w:w="1477"/>
        <w:gridCol w:w="941"/>
        <w:gridCol w:w="1478"/>
      </w:tblGrid>
      <w:tr>
        <w:trPr>
          <w:trHeight w:val="260" w:hRule="atLeast"/>
        </w:trPr>
        <w:tc>
          <w:tcPr>
            <w:tcW w:w="24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Территории*</w:t>
            </w:r>
          </w:p>
        </w:tc>
        <w:tc>
          <w:tcPr>
            <w:tcW w:w="2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2018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2019</w:t>
            </w:r>
          </w:p>
        </w:tc>
        <w:tc>
          <w:tcPr>
            <w:tcW w:w="2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2020</w:t>
            </w:r>
          </w:p>
        </w:tc>
      </w:tr>
      <w:tr>
        <w:trPr>
          <w:trHeight w:val="1043" w:hRule="atLeast"/>
        </w:trPr>
        <w:tc>
          <w:tcPr>
            <w:tcW w:w="244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всего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со смертельным исходом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всего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со смертельным исходом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всего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со смертельным исходом</w:t>
            </w:r>
          </w:p>
        </w:tc>
      </w:tr>
      <w:tr>
        <w:trPr>
          <w:trHeight w:val="260" w:hRule="atLeast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г.Тюмень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</w:tr>
      <w:tr>
        <w:trPr>
          <w:trHeight w:val="260" w:hRule="atLeast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г.Тобольск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>
        <w:trPr>
          <w:trHeight w:val="260" w:hRule="atLeast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г. Ишим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г. Ялуторовск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Голышмановский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Исетский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Нижнетавдинский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Омутинский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Тюменский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rPr>
          <w:trHeight w:val="260" w:hRule="atLeast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Бердюжский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Arial" w:hAnsi="Arial" w:cs="Arial"/>
                <w:b/>
                <w:b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</w:rPr>
              <w:t>По области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118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167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0" w:leader="none"/>
              </w:tabs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139</w:t>
            </w:r>
          </w:p>
        </w:tc>
      </w:tr>
    </w:tbl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  <w:t>*В таблице указаны территории, на которых зарегистрированы случаи отравлений наркотическими веществами за последние 3 года.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4320" w:hanging="144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4320" w:hanging="144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5341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2">
    <w:name w:val="Heading 2"/>
    <w:basedOn w:val="Normal"/>
    <w:next w:val="Normal"/>
    <w:link w:val="20"/>
    <w:qFormat/>
    <w:rsid w:val="00795341"/>
    <w:pPr>
      <w:keepNext w:val="true"/>
      <w:spacing w:lineRule="auto" w:line="240" w:before="0" w:after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795341"/>
    <w:pPr>
      <w:keepNext w:val="true"/>
      <w:keepLines/>
      <w:spacing w:lineRule="auto" w:line="240" w:before="200" w:after="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79534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795341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795341"/>
    <w:rPr>
      <w:rFonts w:ascii="Cambria" w:hAnsi="Cambria" w:eastAsia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795341"/>
    <w:rPr>
      <w:rFonts w:ascii="Calibri" w:hAnsi="Calibri" w:eastAsia="Times New Roman" w:cs="Times New Roman"/>
      <w:b/>
      <w:bCs/>
      <w:i/>
      <w:iCs/>
      <w:sz w:val="26"/>
      <w:szCs w:val="26"/>
      <w:lang w:eastAsia="ru-RU"/>
    </w:rPr>
  </w:style>
  <w:style w:type="character" w:styleId="Style11">
    <w:name w:val="Интернет-ссылка"/>
    <w:basedOn w:val="DefaultParagraphFont"/>
    <w:rsid w:val="00795341"/>
    <w:rPr>
      <w:color w:val="0000FF"/>
      <w:u w:val="single"/>
    </w:rPr>
  </w:style>
  <w:style w:type="character" w:styleId="Style12" w:customStyle="1">
    <w:name w:val="Основной текст Знак"/>
    <w:basedOn w:val="DefaultParagraphFont"/>
    <w:link w:val="a5"/>
    <w:qFormat/>
    <w:rsid w:val="00795341"/>
    <w:rPr>
      <w:rFonts w:ascii="Arial" w:hAnsi="Arial" w:eastAsia="Times New Roman" w:cs="Arial"/>
      <w:sz w:val="20"/>
      <w:szCs w:val="24"/>
      <w:lang w:eastAsia="ru-RU"/>
    </w:rPr>
  </w:style>
  <w:style w:type="character" w:styleId="Style13" w:customStyle="1">
    <w:name w:val="Текст выноски Знак"/>
    <w:basedOn w:val="DefaultParagraphFont"/>
    <w:link w:val="a7"/>
    <w:uiPriority w:val="99"/>
    <w:semiHidden/>
    <w:qFormat/>
    <w:rsid w:val="00795341"/>
    <w:rPr>
      <w:rFonts w:ascii="Tahoma" w:hAnsi="Tahoma" w:eastAsia="Times New Roman" w:cs="Tahoma"/>
      <w:sz w:val="16"/>
      <w:szCs w:val="16"/>
      <w:lang w:eastAsia="ru-RU"/>
    </w:rPr>
  </w:style>
  <w:style w:type="character" w:styleId="Style14" w:customStyle="1">
    <w:name w:val="Основной текст с отступом Знак"/>
    <w:basedOn w:val="DefaultParagraphFont"/>
    <w:link w:val="a9"/>
    <w:uiPriority w:val="99"/>
    <w:semiHidden/>
    <w:qFormat/>
    <w:rsid w:val="00795341"/>
    <w:rPr>
      <w:rFonts w:ascii="Calibri" w:hAnsi="Calibri" w:eastAsia="Times New Roman" w:cs="Times New Roman"/>
      <w:lang w:eastAsia="ru-RU"/>
    </w:rPr>
  </w:style>
  <w:style w:type="character" w:styleId="Style15" w:customStyle="1">
    <w:name w:val="Текст Знак"/>
    <w:basedOn w:val="DefaultParagraphFont"/>
    <w:link w:val="ad"/>
    <w:qFormat/>
    <w:rsid w:val="00795341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6" w:customStyle="1">
    <w:name w:val="Верхний колонтитул Знак"/>
    <w:basedOn w:val="DefaultParagraphFont"/>
    <w:link w:val="af0"/>
    <w:uiPriority w:val="99"/>
    <w:semiHidden/>
    <w:qFormat/>
    <w:rsid w:val="00795341"/>
    <w:rPr>
      <w:rFonts w:ascii="Calibri" w:hAnsi="Calibri" w:eastAsia="Calibri" w:cs="Times New Roman"/>
    </w:rPr>
  </w:style>
  <w:style w:type="character" w:styleId="Style17" w:customStyle="1">
    <w:name w:val="Нижний колонтитул Знак"/>
    <w:basedOn w:val="DefaultParagraphFont"/>
    <w:link w:val="af2"/>
    <w:uiPriority w:val="99"/>
    <w:semiHidden/>
    <w:qFormat/>
    <w:rsid w:val="00795341"/>
    <w:rPr>
      <w:rFonts w:ascii="Calibri" w:hAnsi="Calibri" w:eastAsia="Times New Roman" w:cs="Times New Roman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6"/>
    <w:rsid w:val="00795341"/>
    <w:pPr>
      <w:spacing w:lineRule="auto" w:line="240" w:before="0" w:after="0"/>
      <w:jc w:val="center"/>
    </w:pPr>
    <w:rPr>
      <w:rFonts w:ascii="Arial" w:hAnsi="Arial" w:cs="Arial"/>
      <w:sz w:val="20"/>
      <w:szCs w:val="24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79534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Body Text Indent"/>
    <w:basedOn w:val="Normal"/>
    <w:link w:val="aa"/>
    <w:uiPriority w:val="99"/>
    <w:semiHidden/>
    <w:unhideWhenUsed/>
    <w:rsid w:val="00795341"/>
    <w:pPr>
      <w:spacing w:before="0" w:after="120"/>
      <w:ind w:left="283" w:hanging="0"/>
    </w:pPr>
    <w:rPr/>
  </w:style>
  <w:style w:type="paragraph" w:styleId="NoSpacing">
    <w:name w:val="No Spacing"/>
    <w:uiPriority w:val="1"/>
    <w:qFormat/>
    <w:rsid w:val="00795341"/>
    <w:pPr>
      <w:widowControl/>
      <w:bidi w:val="0"/>
      <w:spacing w:lineRule="auto" w:line="240" w:before="0" w:after="0"/>
      <w:jc w:val="righ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PlusTitle" w:customStyle="1">
    <w:name w:val="ConsPlusTitle"/>
    <w:qFormat/>
    <w:rsid w:val="00795341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NormalWeb">
    <w:name w:val="Normal (Web)"/>
    <w:basedOn w:val="Normal"/>
    <w:uiPriority w:val="99"/>
    <w:unhideWhenUsed/>
    <w:qFormat/>
    <w:rsid w:val="00795341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ae"/>
    <w:qFormat/>
    <w:rsid w:val="00795341"/>
    <w:pPr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Style24" w:customStyle="1">
    <w:name w:val="Таблицы (моноширинный)"/>
    <w:basedOn w:val="Normal"/>
    <w:next w:val="Normal"/>
    <w:qFormat/>
    <w:rsid w:val="00795341"/>
    <w:pPr>
      <w:widowControl w:val="false"/>
      <w:spacing w:lineRule="auto" w:line="240" w:before="0" w:after="0"/>
      <w:jc w:val="both"/>
    </w:pPr>
    <w:rPr>
      <w:rFonts w:ascii="Courier New" w:hAnsi="Courier New"/>
      <w:sz w:val="20"/>
      <w:szCs w:val="20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f1"/>
    <w:uiPriority w:val="99"/>
    <w:semiHidden/>
    <w:unhideWhenUsed/>
    <w:rsid w:val="00795341"/>
    <w:pPr>
      <w:tabs>
        <w:tab w:val="clear" w:pos="708"/>
        <w:tab w:val="center" w:pos="4677" w:leader="none"/>
        <w:tab w:val="right" w:pos="9355" w:leader="none"/>
      </w:tabs>
      <w:ind w:firstLine="709"/>
      <w:jc w:val="both"/>
    </w:pPr>
    <w:rPr>
      <w:rFonts w:eastAsia="Calibri"/>
      <w:lang w:eastAsia="en-US"/>
    </w:rPr>
  </w:style>
  <w:style w:type="paragraph" w:styleId="Style27">
    <w:name w:val="Footer"/>
    <w:basedOn w:val="Normal"/>
    <w:link w:val="af3"/>
    <w:uiPriority w:val="99"/>
    <w:semiHidden/>
    <w:unhideWhenUsed/>
    <w:rsid w:val="0079534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qFormat/>
    <w:rsid w:val="00795341"/>
    <w:pPr>
      <w:spacing w:lineRule="auto" w:line="240" w:before="0" w:after="0"/>
      <w:ind w:left="708" w:hanging="0"/>
    </w:pPr>
    <w:rPr>
      <w:rFonts w:ascii="Times New Roman" w:hAnsi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95341"/>
    <w:pPr>
      <w:spacing w:after="0" w:line="240" w:lineRule="auto"/>
    </w:pPr>
    <w:rPr>
      <w:lang w:eastAsia="ru-RU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chart" Target="charts/chart3.xml"/><Relationship Id="rId5" Type="http://schemas.openxmlformats.org/officeDocument/2006/relationships/chart" Target="charts/chart4.xml"/><Relationship Id="rId6" Type="http://schemas.openxmlformats.org/officeDocument/2006/relationships/chart" Target="charts/chart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view3D>
      <c:rotX val="10"/>
      <c:rotY val="10"/>
      <c:rAngAx val="0"/>
      <c:perspective val="0"/>
    </c:view3D>
    <c:floor>
      <c:spPr>
        <a:noFill/>
        <a:ln w="9360">
          <a:solidFill>
            <a:srgbClr val="878787"/>
          </a:solidFill>
          <a:round/>
        </a:ln>
      </c:spPr>
    </c:floor>
    <c:sideWall>
      <c:spPr>
        <a:noFill/>
        <a:ln w="9360">
          <a:solidFill>
            <a:srgbClr val="878787"/>
          </a:solidFill>
          <a:round/>
        </a:ln>
      </c:spPr>
    </c:sideWall>
    <c:backWall>
      <c:spPr>
        <a:noFill/>
        <a:ln w="9360">
          <a:solidFill>
            <a:srgbClr val="878787"/>
          </a:solidFill>
          <a:round/>
        </a:ln>
      </c:spPr>
    </c:backWall>
    <c:plotArea>
      <c:layout>
        <c:manualLayout>
          <c:layoutTarget val="inner"/>
          <c:xMode val="edge"/>
          <c:yMode val="edge"/>
          <c:x val="0.023125"/>
          <c:y val="0.052"/>
          <c:w val="0.95375"/>
          <c:h val="0.6318888888888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Серия1</c:v>
                </c:pt>
              </c:strCache>
            </c:strRef>
          </c:tx>
          <c:spPr>
            <a:solidFill>
              <a:srgbClr val="4f6228"/>
            </a:solidFill>
            <a:ln>
              <a:solidFill>
                <a:srgbClr val="000000"/>
              </a:solidFill>
            </a:ln>
          </c:spPr>
          <c:invertIfNegative val="0"/>
          <c:dPt>
            <c:idx val="0"/>
            <c:invertIfNegative val="0"/>
            <c:spPr>
              <a:solidFill>
                <a:srgbClr val="0070c0"/>
              </a:solidFill>
              <a:ln>
                <a:solidFill>
                  <a:srgbClr val="000000"/>
                </a:solidFill>
              </a:ln>
            </c:spPr>
          </c:dPt>
          <c:dPt>
            <c:idx val="1"/>
            <c:invertIfNegative val="0"/>
            <c:spPr>
              <a:solidFill>
                <a:srgbClr val="0070c0"/>
              </a:solidFill>
              <a:ln>
                <a:solidFill>
                  <a:srgbClr val="000000"/>
                </a:solidFill>
              </a:ln>
            </c:spPr>
          </c:dPt>
          <c:dPt>
            <c:idx val="2"/>
            <c:invertIfNegative val="0"/>
            <c:spPr>
              <a:solidFill>
                <a:srgbClr val="0070c0"/>
              </a:solidFill>
              <a:ln>
                <a:solidFill>
                  <a:srgbClr val="000000"/>
                </a:solidFill>
              </a:ln>
            </c:spPr>
          </c:dPt>
          <c:dPt>
            <c:idx val="3"/>
            <c:invertIfNegative val="0"/>
            <c:spPr>
              <a:solidFill>
                <a:srgbClr val="0070c0"/>
              </a:solidFill>
              <a:ln>
                <a:solidFill>
                  <a:srgbClr val="000000"/>
                </a:solidFill>
              </a:ln>
            </c:spPr>
          </c:dPt>
          <c:dPt>
            <c:idx val="4"/>
            <c:invertIfNegative val="0"/>
            <c:spPr>
              <a:solidFill>
                <a:srgbClr val="0070c0"/>
              </a:solidFill>
              <a:ln>
                <a:solidFill>
                  <a:srgbClr val="000000"/>
                </a:solidFill>
              </a:ln>
            </c:spPr>
          </c:dPt>
          <c:dPt>
            <c:idx val="5"/>
            <c:invertIfNegative val="0"/>
            <c:spPr>
              <a:solidFill>
                <a:srgbClr val="0070c0"/>
              </a:solidFill>
              <a:ln>
                <a:solidFill>
                  <a:srgbClr val="000000"/>
                </a:solidFill>
              </a:ln>
            </c:spPr>
          </c:dPt>
          <c:dLbls>
            <c:numFmt formatCode="General" sourceLinked="0"/>
            <c:dLbl>
              <c:idx val="0"/>
              <c:numFmt formatCode="General" sourceLinked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numFmt formatCode="General" sourceLinked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numFmt formatCode="General" sourceLinked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numFmt formatCode="General" sourceLinked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4"/>
              <c:numFmt formatCode="General" sourceLinked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5"/>
              <c:numFmt formatCode="General" sourceLinked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Times New Roman"/>
                    <a:ea typeface="Times New Roman"/>
                  </a:defRPr>
                </a:pPr>
              </a:p>
            </c:txPr>
            <c:showLegendKey val="0"/>
            <c:showVal val="1"/>
            <c:showCatName val="0"/>
            <c:showSerName val="0"/>
            <c:showPercent val="0"/>
            <c:separator>; </c:separator>
            <c:showLeaderLines val="0"/>
          </c:dLbls>
          <c:cat>
            <c:multiLvlStrRef>
              <c:f>categories</c:f>
              <c:multiLvlStrCache>
                <c:ptCount val="6"/>
                <c:lvl>
                  <c:pt idx="1">
                    <c:v>в т.ч. с летальным </c:v>
                  </c:pt>
                  <c:pt idx="3">
                    <c:v>в т.ч. с летальным </c:v>
                  </c:pt>
                  <c:pt idx="5">
                    <c:v>в т.ч. с летальным </c:v>
                  </c:pt>
                </c:lvl>
                <c:lvl>
                  <c:pt idx="0">
                    <c:v>2018</c:v>
                  </c:pt>
                  <c:pt idx="2">
                    <c:v>2019</c:v>
                  </c:pt>
                  <c:pt idx="4">
                    <c:v>2020</c:v>
                  </c:pt>
                </c:lvl>
              </c:multiLvlStrCache>
            </c:multiLvlStrRef>
          </c:cat>
          <c:val>
            <c:numRef>
              <c:f>0</c:f>
              <c:numCache>
                <c:formatCode>General</c:formatCode>
                <c:ptCount val="6"/>
                <c:pt idx="0">
                  <c:v>1620</c:v>
                </c:pt>
                <c:pt idx="1">
                  <c:v>300</c:v>
                </c:pt>
                <c:pt idx="2">
                  <c:v>1527</c:v>
                </c:pt>
                <c:pt idx="3">
                  <c:v>366</c:v>
                </c:pt>
                <c:pt idx="4">
                  <c:v>1145</c:v>
                </c:pt>
                <c:pt idx="5">
                  <c:v>360</c:v>
                </c:pt>
              </c:numCache>
            </c:numRef>
          </c:val>
        </c:ser>
        <c:gapWidth val="75"/>
        <c:shape val="cylinder"/>
        <c:axId val="76197344"/>
        <c:axId val="49521607"/>
        <c:axId val="0"/>
      </c:bar3DChart>
      <c:catAx>
        <c:axId val="76197344"/>
        <c:scaling>
          <c:orientation val="minMax"/>
        </c:scaling>
        <c:delete val="0"/>
        <c:axPos val="b"/>
        <c:numFmt formatCode="[$-419]dd/mm/yyyy" sourceLinked="1"/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Times New Roman"/>
                <a:ea typeface="Times New Roman"/>
              </a:defRPr>
            </a:pPr>
          </a:p>
        </c:txPr>
        <c:crossAx val="49521607"/>
        <c:crosses val="autoZero"/>
        <c:auto val="1"/>
        <c:lblAlgn val="ctr"/>
        <c:lblOffset val="100"/>
        <c:noMultiLvlLbl val="0"/>
      </c:catAx>
      <c:valAx>
        <c:axId val="49521607"/>
        <c:scaling>
          <c:orientation val="minMax"/>
        </c:scaling>
        <c:delete val="1"/>
        <c:axPos val="l"/>
        <c:numFmt formatCode="General" sourceLinked="0"/>
        <c:majorTickMark val="out"/>
        <c:minorTickMark val="none"/>
        <c:tickLblPos val="none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Times New Roman"/>
                <a:ea typeface="Times New Roman"/>
              </a:defRPr>
            </a:pPr>
          </a:p>
        </c:txPr>
        <c:crossAx val="76197344"/>
        <c:crossBetween val="between"/>
      </c:valAx>
    </c:plotArea>
    <c:plotVisOnly val="1"/>
    <c:dispBlanksAs val="gap"/>
  </c:chart>
  <c:spPr>
    <a:solidFill>
      <a:srgbClr val="ffffff"/>
    </a:solidFill>
    <a:ln w="9360"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view3D>
      <c:rotX val="15"/>
      <c:rotY val="20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sideWall>
      <c:spPr>
        <a:noFill/>
        <a:ln w="9360">
          <a:solidFill>
            <a:srgbClr val="878787"/>
          </a:solidFill>
          <a:round/>
        </a:ln>
      </c:spPr>
    </c:sideWall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col"/>
        <c:grouping val="stack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Спиртсодержащей продукцией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Pt>
            <c:idx val="2"/>
            <c:invertIfNegative val="0"/>
            <c:spPr>
              <a:solidFill>
                <a:srgbClr val="4f81bd"/>
              </a:solidFill>
              <a:ln>
                <a:noFill/>
              </a:ln>
            </c:spPr>
          </c:dPt>
          <c:dLbls>
            <c:numFmt formatCode="0.0%" sourceLinked="0"/>
            <c:dLbl>
              <c:idx val="2"/>
              <c:txPr>
                <a:bodyPr/>
                <a:lstStyle/>
                <a:p>
                  <a:pPr>
                    <a:defRPr b="0" sz="11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tx>
                <c:rich>
                  <a:bodyPr/>
                  <a:p>
                    <a:r>
                      <a:rPr b="0" sz="1300" spc="-1" strike="noStrike">
                        <a:latin typeface="Arial"/>
                      </a:rPr>
                      <a:t>2</a:t>
                    </a:r>
                    <a:r>
                      <a:rPr b="0" sz="1300" spc="-1" strike="noStrike">
                        <a:latin typeface="Arial"/>
                      </a:rPr>
                      <a:t>4,4%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eparator>; 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Times New Roman"/>
                    <a:ea typeface="Calibri"/>
                  </a:defRPr>
                </a:pPr>
              </a:p>
            </c:txPr>
            <c:showLegendKey val="0"/>
            <c:showVal val="1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3"/>
                <c:pt idx="0">
                  <c:v>2018г.</c:v>
                </c:pt>
                <c:pt idx="1">
                  <c:v>2019г.</c:v>
                </c:pt>
                <c:pt idx="2">
                  <c:v>2020г.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0.259</c:v>
                </c:pt>
                <c:pt idx="1">
                  <c:v>0.244</c:v>
                </c:pt>
                <c:pt idx="2">
                  <c:v>0.268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Лекарственными препаратами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numFmt formatCode="0.0%" sourceLinked="0"/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Times New Roman"/>
                    <a:ea typeface="Calibri"/>
                  </a:defRPr>
                </a:pPr>
              </a:p>
            </c:txPr>
            <c:showLegendKey val="0"/>
            <c:showVal val="1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3"/>
                <c:pt idx="0">
                  <c:v>2018г.</c:v>
                </c:pt>
                <c:pt idx="1">
                  <c:v>2019г.</c:v>
                </c:pt>
                <c:pt idx="2">
                  <c:v>2020г.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0.345</c:v>
                </c:pt>
                <c:pt idx="1">
                  <c:v>0.321000000000001</c:v>
                </c:pt>
                <c:pt idx="2">
                  <c:v>0.285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Другими мониторируемыми видами </c:v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invertIfNegative val="0"/>
          <c:dLbls>
            <c:numFmt formatCode="0.0%" sourceLinked="0"/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Times New Roman"/>
                    <a:ea typeface="Calibri"/>
                  </a:defRPr>
                </a:pPr>
              </a:p>
            </c:txPr>
            <c:showLegendKey val="0"/>
            <c:showVal val="1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3"/>
                <c:pt idx="0">
                  <c:v>2018г.</c:v>
                </c:pt>
                <c:pt idx="1">
                  <c:v>2019г.</c:v>
                </c:pt>
                <c:pt idx="2">
                  <c:v>2020г.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3"/>
                <c:pt idx="0">
                  <c:v>0.29</c:v>
                </c:pt>
                <c:pt idx="1">
                  <c:v>0.299</c:v>
                </c:pt>
                <c:pt idx="2">
                  <c:v>0.242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Наркотическими веществами</c:v>
                </c:pt>
              </c:strCache>
            </c:strRef>
          </c:tx>
          <c:spPr>
            <a:solidFill>
              <a:srgbClr val="8064a2"/>
            </a:solidFill>
            <a:ln>
              <a:noFill/>
            </a:ln>
          </c:spPr>
          <c:invertIfNegative val="0"/>
          <c:dPt>
            <c:idx val="0"/>
            <c:invertIfNegative val="0"/>
            <c:spPr>
              <a:solidFill>
                <a:srgbClr val="8064a2"/>
              </a:solidFill>
              <a:ln>
                <a:noFill/>
              </a:ln>
            </c:spPr>
          </c:dPt>
          <c:dPt>
            <c:idx val="1"/>
            <c:invertIfNegative val="0"/>
            <c:spPr>
              <a:solidFill>
                <a:srgbClr val="8064a2"/>
              </a:solidFill>
              <a:ln>
                <a:noFill/>
              </a:ln>
            </c:spPr>
          </c:dPt>
          <c:dPt>
            <c:idx val="2"/>
            <c:invertIfNegative val="0"/>
            <c:spPr>
              <a:solidFill>
                <a:srgbClr val="8064a2"/>
              </a:solidFill>
              <a:ln>
                <a:noFill/>
              </a:ln>
            </c:spPr>
          </c:dPt>
          <c:dLbls>
            <c:numFmt formatCode="0.0%" sourceLinked="0"/>
            <c:dLbl>
              <c:idx val="0"/>
              <c:numFmt formatCode="0.0%" sourceLinked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numFmt formatCode="0.0%" sourceLinked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numFmt formatCode="0.0%" sourceLinked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/>
              <a:lstStyle/>
              <a:p>
                <a:pPr>
                  <a:defRPr b="0" sz="1100" spc="-1" strike="noStrike">
                    <a:solidFill>
                      <a:srgbClr val="000000"/>
                    </a:solidFill>
                    <a:latin typeface="Times New Roman"/>
                    <a:ea typeface="Calibri"/>
                  </a:defRPr>
                </a:pPr>
              </a:p>
            </c:txPr>
            <c:showLegendKey val="0"/>
            <c:showVal val="1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3"/>
                <c:pt idx="0">
                  <c:v>2018г.</c:v>
                </c:pt>
                <c:pt idx="1">
                  <c:v>2019г.</c:v>
                </c:pt>
                <c:pt idx="2">
                  <c:v>2020г.</c:v>
                </c:pt>
              </c:strCache>
            </c:strRef>
          </c:cat>
          <c:val>
            <c:numRef>
              <c:f>3</c:f>
              <c:numCache>
                <c:formatCode>General</c:formatCode>
                <c:ptCount val="3"/>
                <c:pt idx="0">
                  <c:v>0.073</c:v>
                </c:pt>
                <c:pt idx="1">
                  <c:v>0.116</c:v>
                </c:pt>
                <c:pt idx="2">
                  <c:v>0.196</c:v>
                </c:pt>
              </c:numCache>
            </c:numRef>
          </c:val>
        </c:ser>
        <c:ser>
          <c:idx val="4"/>
          <c:order val="4"/>
          <c:tx>
            <c:strRef>
              <c:f>label 4</c:f>
              <c:strCache>
                <c:ptCount val="1"/>
                <c:pt idx="0">
                  <c:v>Пищевые отравления</c:v>
                </c:pt>
              </c:strCache>
            </c:strRef>
          </c:tx>
          <c:spPr>
            <a:solidFill>
              <a:srgbClr val="4bacc6"/>
            </a:solidFill>
            <a:ln>
              <a:noFill/>
            </a:ln>
          </c:spPr>
          <c:invertIfNegative val="0"/>
          <c:dPt>
            <c:idx val="0"/>
            <c:invertIfNegative val="0"/>
            <c:spPr>
              <a:solidFill>
                <a:srgbClr val="4bacc6"/>
              </a:solidFill>
              <a:ln>
                <a:noFill/>
              </a:ln>
            </c:spPr>
          </c:dPt>
          <c:dPt>
            <c:idx val="1"/>
            <c:invertIfNegative val="0"/>
            <c:spPr>
              <a:solidFill>
                <a:srgbClr val="4bacc6"/>
              </a:solidFill>
              <a:ln>
                <a:noFill/>
              </a:ln>
            </c:spPr>
          </c:dPt>
          <c:dPt>
            <c:idx val="2"/>
            <c:invertIfNegative val="0"/>
            <c:spPr>
              <a:solidFill>
                <a:srgbClr val="4bacc6"/>
              </a:solidFill>
              <a:ln>
                <a:noFill/>
              </a:ln>
            </c:spPr>
          </c:dPt>
          <c:dLbls>
            <c:numFmt formatCode="0.0%" sourceLinked="0"/>
            <c:dLbl>
              <c:idx val="0"/>
              <c:numFmt formatCode="0.0%" sourceLinked="0"/>
              <c:txPr>
                <a:bodyPr/>
                <a:lstStyle/>
                <a:p>
                  <a:pPr>
                    <a:defRPr b="0" sz="11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numFmt formatCode="0.0%" sourceLinked="0"/>
              <c:txPr>
                <a:bodyPr/>
                <a:lstStyle/>
                <a:p>
                  <a:pPr>
                    <a:defRPr b="0" sz="11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numFmt formatCode="0.0%" sourceLinked="0"/>
              <c:txPr>
                <a:bodyPr/>
                <a:lstStyle/>
                <a:p>
                  <a:pPr>
                    <a:defRPr b="0" sz="1100" spc="-1" strike="noStrike">
                      <a:solidFill>
                        <a:srgbClr val="000000"/>
                      </a:solidFill>
                      <a:latin typeface="Times New Roman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Times New Roman"/>
                    <a:ea typeface="Calibri"/>
                  </a:defRPr>
                </a:pPr>
              </a:p>
            </c:txPr>
            <c:showLegendKey val="0"/>
            <c:showVal val="1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3"/>
                <c:pt idx="0">
                  <c:v>2018г.</c:v>
                </c:pt>
                <c:pt idx="1">
                  <c:v>2019г.</c:v>
                </c:pt>
                <c:pt idx="2">
                  <c:v>2020г.</c:v>
                </c:pt>
              </c:strCache>
            </c:strRef>
          </c:cat>
          <c:val>
            <c:numRef>
              <c:f>4</c:f>
              <c:numCache>
                <c:formatCode>General</c:formatCode>
                <c:ptCount val="3"/>
                <c:pt idx="0">
                  <c:v>0.033</c:v>
                </c:pt>
                <c:pt idx="1">
                  <c:v>0.02</c:v>
                </c:pt>
                <c:pt idx="2">
                  <c:v>0.00700000000000001</c:v>
                </c:pt>
              </c:numCache>
            </c:numRef>
          </c:val>
        </c:ser>
        <c:gapWidth val="150"/>
        <c:shape val="box"/>
        <c:axId val="16411094"/>
        <c:axId val="50978303"/>
        <c:axId val="0"/>
      </c:bar3DChart>
      <c:catAx>
        <c:axId val="16411094"/>
        <c:scaling>
          <c:orientation val="minMax"/>
        </c:scaling>
        <c:delete val="0"/>
        <c:axPos val="b"/>
        <c:numFmt formatCode="[$-419]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100" spc="-1" strike="noStrike">
                <a:solidFill>
                  <a:srgbClr val="000000"/>
                </a:solidFill>
                <a:latin typeface="Times New Roman"/>
                <a:ea typeface="Calibri"/>
              </a:defRPr>
            </a:pPr>
          </a:p>
        </c:txPr>
        <c:crossAx val="50978303"/>
        <c:crosses val="autoZero"/>
        <c:auto val="1"/>
        <c:lblAlgn val="ctr"/>
        <c:lblOffset val="100"/>
        <c:noMultiLvlLbl val="0"/>
      </c:catAx>
      <c:valAx>
        <c:axId val="50978303"/>
        <c:scaling>
          <c:orientation val="minMax"/>
        </c:scaling>
        <c:delete val="1"/>
        <c:axPos val="l"/>
        <c:numFmt formatCode="0.0%" sourceLinked="0"/>
        <c:majorTickMark val="out"/>
        <c:minorTickMark val="none"/>
        <c:tickLblPos val="none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100" spc="-1" strike="noStrike">
                <a:solidFill>
                  <a:srgbClr val="000000"/>
                </a:solidFill>
                <a:latin typeface="Times New Roman"/>
                <a:ea typeface="Calibri"/>
              </a:defRPr>
            </a:pPr>
          </a:p>
        </c:txPr>
        <c:crossAx val="16411094"/>
        <c:crossBetween val="between"/>
      </c:valAx>
    </c:plotArea>
    <c:legend>
      <c:legendPos val="r"/>
      <c:layout>
        <c:manualLayout>
          <c:xMode val="edge"/>
          <c:yMode val="edge"/>
          <c:x val="0.6796875"/>
          <c:y val="0.0111111111111111"/>
          <c:w val="0.303581473842115"/>
          <c:h val="0.986109567729748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Times New Roman"/>
              <a:ea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plotArea>
      <c:layout>
        <c:manualLayout>
          <c:layoutTarget val="inner"/>
          <c:xMode val="edge"/>
          <c:yMode val="edge"/>
          <c:x val="0.08475"/>
          <c:y val="0.0995555555555555"/>
          <c:w val="0.813875"/>
          <c:h val="0.773111111111111"/>
        </c:manualLayout>
      </c:layout>
      <c:doughnut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Серия1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0"/>
          <c:dPt>
            <c:idx val="0"/>
            <c:spPr>
              <a:solidFill>
                <a:srgbClr val="4672a8"/>
              </a:solidFill>
              <a:ln>
                <a:noFill/>
              </a:ln>
            </c:spPr>
          </c:dPt>
          <c:dPt>
            <c:idx val="1"/>
            <c:spPr>
              <a:solidFill>
                <a:srgbClr val="ab4744"/>
              </a:solidFill>
              <a:ln>
                <a:noFill/>
              </a:ln>
            </c:spPr>
          </c:dPt>
          <c:dPt>
            <c:idx val="2"/>
            <c:spPr>
              <a:solidFill>
                <a:srgbClr val="8aa64f"/>
              </a:solidFill>
              <a:ln>
                <a:noFill/>
              </a:ln>
            </c:spPr>
          </c:dPt>
          <c:dPt>
            <c:idx val="3"/>
            <c:spPr>
              <a:solidFill>
                <a:srgbClr val="725990"/>
              </a:solidFill>
              <a:ln>
                <a:noFill/>
              </a:ln>
            </c:spPr>
          </c:dPt>
          <c:dPt>
            <c:idx val="4"/>
            <c:spPr>
              <a:solidFill>
                <a:srgbClr val="4299b0"/>
              </a:solidFill>
              <a:ln>
                <a:noFill/>
              </a:ln>
            </c:spPr>
          </c:dPt>
          <c:dPt>
            <c:idx val="5"/>
            <c:spPr>
              <a:solidFill>
                <a:srgbClr val="dc853e"/>
              </a:solidFill>
              <a:ln>
                <a:noFill/>
              </a:ln>
            </c:spPr>
          </c:dPt>
          <c:dPt>
            <c:idx val="6"/>
            <c:spPr>
              <a:solidFill>
                <a:srgbClr val="93a9ce"/>
              </a:solidFill>
              <a:ln>
                <a:noFill/>
              </a:ln>
            </c:spPr>
          </c:dPt>
          <c:dPt>
            <c:idx val="7"/>
            <c:spPr>
              <a:solidFill>
                <a:srgbClr val="d09493"/>
              </a:solidFill>
              <a:ln>
                <a:noFill/>
              </a:ln>
            </c:spPr>
          </c:dPt>
          <c:dPt>
            <c:idx val="8"/>
            <c:spPr>
              <a:solidFill>
                <a:srgbClr val="b8cd97"/>
              </a:solidFill>
              <a:ln>
                <a:noFill/>
              </a:ln>
            </c:spPr>
          </c:dPt>
          <c:dLbls>
            <c:numFmt formatCode="0.0%" sourceLinked="0"/>
            <c:dLbl>
              <c:idx val="0"/>
              <c:numFmt formatCode="0.0%" sourceLinked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1"/>
              <c:numFmt formatCode="0.0%" sourceLinked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2"/>
              <c:numFmt formatCode="0.0%" sourceLinked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3"/>
              <c:numFmt formatCode="0.0%" sourceLinked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4"/>
              <c:numFmt formatCode="0.0%" sourceLinked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5"/>
              <c:numFmt formatCode="0.0%" sourceLinked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6"/>
              <c:numFmt formatCode="0.0%" sourceLinked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7"/>
              <c:numFmt formatCode="0.0%" sourceLinked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1"/>
              <c:separator>
</c:separator>
            </c:dLbl>
            <c:dLbl>
              <c:idx val="8"/>
              <c:numFmt formatCode="0.0%" sourceLinked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  <c:separator>
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1"/>
            <c:separator>
</c:separator>
            <c:showLeaderLines val="0"/>
          </c:dLbls>
          <c:cat>
            <c:strRef>
              <c:f>categories</c:f>
              <c:strCache>
                <c:ptCount val="9"/>
                <c:pt idx="0">
                  <c:v>Неорганизованные дети</c:v>
                </c:pt>
                <c:pt idx="1">
                  <c:v>Дети, посещающие ДДУ </c:v>
                </c:pt>
                <c:pt idx="2">
                  <c:v>Школьники (7-17 лет)</c:v>
                </c:pt>
                <c:pt idx="3">
                  <c:v>Учащиеся (студенты)</c:v>
                </c:pt>
                <c:pt idx="4">
                  <c:v>Работающее население</c:v>
                </c:pt>
                <c:pt idx="5">
                  <c:v>Безработные</c:v>
                </c:pt>
                <c:pt idx="6">
                  <c:v>Пенсионеры </c:v>
                </c:pt>
                <c:pt idx="7">
                  <c:v>БОМЖи</c:v>
                </c:pt>
                <c:pt idx="8">
                  <c:v>Мигранты, переселенцы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9"/>
                <c:pt idx="0">
                  <c:v>0.0590000000000001</c:v>
                </c:pt>
                <c:pt idx="1">
                  <c:v>0.0270000000000001</c:v>
                </c:pt>
                <c:pt idx="2">
                  <c:v>0.065</c:v>
                </c:pt>
                <c:pt idx="3">
                  <c:v>0.052</c:v>
                </c:pt>
                <c:pt idx="4">
                  <c:v>0.184</c:v>
                </c:pt>
                <c:pt idx="5">
                  <c:v>0.442</c:v>
                </c:pt>
                <c:pt idx="6">
                  <c:v>0.169</c:v>
                </c:pt>
                <c:pt idx="7">
                  <c:v>0.000900000000000003</c:v>
                </c:pt>
              </c:numCache>
            </c:numRef>
          </c:val>
        </c:ser>
        <c:firstSliceAng val="0"/>
        <c:holeSize val="50"/>
      </c:doughnutChart>
      <c:spPr>
        <a:solidFill>
          <a:srgbClr val="ffffff"/>
        </a:solidFill>
        <a:ln>
          <a:noFill/>
        </a:ln>
      </c:spPr>
    </c:plotArea>
    <c:legend>
      <c:legendPos val="l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zero"/>
  </c:chart>
  <c:spPr>
    <a:noFill/>
    <a:ln w="9360">
      <a:noFill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plotArea>
      <c:bar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Серия1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Pt>
            <c:idx val="0"/>
            <c:invertIfNegative val="0"/>
            <c:spPr>
              <a:solidFill>
                <a:srgbClr val="c0504d"/>
              </a:solidFill>
              <a:ln>
                <a:noFill/>
              </a:ln>
            </c:spPr>
          </c:dPt>
          <c:dPt>
            <c:idx val="1"/>
            <c:invertIfNegative val="0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invertIfNegative val="0"/>
            <c:spPr>
              <a:solidFill>
                <a:srgbClr val="c0504d"/>
              </a:solidFill>
              <a:ln>
                <a:noFill/>
              </a:ln>
            </c:spPr>
          </c:dPt>
          <c:dLbls>
            <c:numFmt formatCode="0.0" sourceLinked="0"/>
            <c:dLbl>
              <c:idx val="0"/>
              <c:numFmt formatCode="0.0" sourceLinked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numFmt formatCode="0.0" sourceLinked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numFmt formatCode="0.0" sourceLinked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3"/>
                <c:pt idx="0">
                  <c:v>случайные</c:v>
                </c:pt>
                <c:pt idx="1">
                  <c:v>преднамеренные</c:v>
                </c:pt>
                <c:pt idx="2">
                  <c:v>неопределенные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57.9912663755458</c:v>
                </c:pt>
                <c:pt idx="1">
                  <c:v>35.6331877729259</c:v>
                </c:pt>
                <c:pt idx="2">
                  <c:v>6.37554585152838</c:v>
                </c:pt>
              </c:numCache>
            </c:numRef>
          </c:val>
        </c:ser>
        <c:gapWidth val="150"/>
        <c:overlap val="0"/>
        <c:axId val="41747312"/>
        <c:axId val="36548287"/>
      </c:barChart>
      <c:catAx>
        <c:axId val="41747312"/>
        <c:scaling>
          <c:orientation val="minMax"/>
        </c:scaling>
        <c:delete val="0"/>
        <c:axPos val="b"/>
        <c:numFmt formatCode="[$-419]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Times New Roman"/>
              </a:defRPr>
            </a:pPr>
          </a:p>
        </c:txPr>
        <c:crossAx val="36548287"/>
        <c:crosses val="autoZero"/>
        <c:auto val="1"/>
        <c:lblAlgn val="ctr"/>
        <c:lblOffset val="100"/>
        <c:noMultiLvlLbl val="0"/>
      </c:catAx>
      <c:valAx>
        <c:axId val="36548287"/>
        <c:scaling>
          <c:orientation val="minMax"/>
        </c:scaling>
        <c:delete val="1"/>
        <c:axPos val="l"/>
        <c:numFmt formatCode="0.0" sourceLinked="0"/>
        <c:majorTickMark val="out"/>
        <c:minorTickMark val="none"/>
        <c:tickLblPos val="none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41747312"/>
        <c:crossBetween val="between"/>
      </c:valAx>
      <c:spPr>
        <a:solidFill>
          <a:srgbClr val="ffffff"/>
        </a:solidFill>
        <a:ln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view3D>
      <c:rotX val="30"/>
      <c:rotY val="0"/>
      <c:rAngAx val="0"/>
      <c:perspective val="30"/>
    </c:view3D>
    <c:floor>
      <c:spPr>
        <a:solidFill>
          <a:srgbClr val="d9d9d9"/>
        </a:solidFill>
        <a:ln>
          <a:noFill/>
        </a:ln>
      </c:spPr>
    </c:floor>
    <c:sideWall>
      <c:spPr>
        <a:solidFill>
          <a:srgbClr val="d9d9d9"/>
        </a:solidFill>
        <a:ln>
          <a:noFill/>
        </a:ln>
      </c:spPr>
    </c:sideWall>
    <c:backWall>
      <c:spPr>
        <a:solidFill>
          <a:srgbClr val="d9d9d9"/>
        </a:solidFill>
        <a:ln>
          <a:noFill/>
        </a:ln>
      </c:spPr>
    </c:backWall>
    <c:plotArea>
      <c:layout>
        <c:manualLayout>
          <c:layoutTarget val="inner"/>
          <c:xMode val="edge"/>
          <c:yMode val="edge"/>
          <c:x val="0.2583125"/>
          <c:y val="0.338"/>
          <c:w val="0.5416875"/>
          <c:h val="0.512555555555556"/>
        </c:manualLayout>
      </c:layout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Серия1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17"/>
          <c:dPt>
            <c:idx val="0"/>
            <c:explosion val="2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explosion val="17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explosion val="17"/>
            <c:spPr>
              <a:solidFill>
                <a:srgbClr val="9bbb59"/>
              </a:solidFill>
              <a:ln>
                <a:noFill/>
              </a:ln>
            </c:spPr>
          </c:dPt>
          <c:dPt>
            <c:idx val="3"/>
            <c:explosion val="17"/>
            <c:spPr>
              <a:solidFill>
                <a:srgbClr val="8064a2"/>
              </a:solidFill>
              <a:ln>
                <a:noFill/>
              </a:ln>
            </c:spPr>
          </c:dPt>
          <c:dPt>
            <c:idx val="4"/>
            <c:explosion val="17"/>
            <c:spPr>
              <a:solidFill>
                <a:srgbClr val="4bacc6"/>
              </a:solidFill>
              <a:ln>
                <a:noFill/>
              </a:ln>
            </c:spPr>
          </c:dPt>
          <c:dLbls>
            <c:numFmt formatCode="General" sourceLinked="0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tx>
                <c:rich>
                  <a:bodyPr/>
                  <a:p>
                    <a:r>
                      <a:rPr b="0" sz="1300" spc="-1" strike="noStrike">
                        <a:latin typeface="Arial"/>
                      </a:rPr>
                      <a:t>о</a:t>
                    </a:r>
                    <a:r>
                      <a:rPr b="0" sz="1300" spc="-1" strike="noStrike">
                        <a:latin typeface="Arial"/>
                      </a:rPr>
                      <a:t>травления спиртосодержащей продукцией 41,6</a:t>
                    </a:r>
                    <a:r>
                      <a:rPr b="0" sz="1300" spc="-1" strike="noStrike">
                        <a:latin typeface="Arial"/>
                      </a:rPr>
                      <a:t>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tx>
                <c:rich>
                  <a:bodyPr/>
                  <a:p>
                    <a:r>
                      <a:rPr b="0" sz="1300" spc="-1" strike="noStrike">
                        <a:latin typeface="Arial"/>
                      </a:rPr>
                      <a:t>о</a:t>
                    </a:r>
                    <a:r>
                      <a:rPr b="0" sz="1300" spc="-1" strike="noStrike">
                        <a:latin typeface="Arial"/>
                      </a:rPr>
                      <a:t>травления наркотическими веществами  38,6%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tx>
                <c:rich>
                  <a:bodyPr/>
                  <a:p>
                    <a:r>
                      <a:rPr b="0" sz="1300" spc="-1" strike="noStrike">
                        <a:latin typeface="Arial"/>
                      </a:rPr>
                      <a:t>о</a:t>
                    </a:r>
                    <a:r>
                      <a:rPr b="0" sz="1300" spc="-1" strike="noStrike">
                        <a:latin typeface="Arial"/>
                      </a:rPr>
                      <a:t>травления лекарственными препаратами 3,9%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tx>
                <c:rich>
                  <a:bodyPr/>
                  <a:p>
                    <a:r>
                      <a:rPr b="0" sz="1300" spc="-1" strike="noStrike">
                        <a:latin typeface="Arial"/>
                      </a:rPr>
                      <a:t>о</a:t>
                    </a:r>
                    <a:r>
                      <a:rPr b="0" sz="1300" spc="-1" strike="noStrike">
                        <a:latin typeface="Arial"/>
                      </a:rPr>
                      <a:t>травления пищевыми продуктами  </a:t>
                    </a:r>
                    <a:r>
                      <a:rPr b="0" sz="1300" spc="-1" strike="noStrike">
                        <a:latin typeface="Arial"/>
                      </a:rPr>
                      <a:t>
</a:t>
                    </a:r>
                    <a:r>
                      <a:rPr b="0" sz="1300" spc="-1" strike="noStrike">
                        <a:latin typeface="Arial"/>
                      </a:rPr>
                      <a:t> 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4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tx>
                <c:rich>
                  <a:bodyPr/>
                  <a:p>
                    <a:r>
                      <a:rPr b="0" sz="1300" spc="-1" strike="noStrike">
                        <a:latin typeface="Arial"/>
                      </a:rPr>
                      <a:t>о</a:t>
                    </a:r>
                    <a:r>
                      <a:rPr b="0" sz="1300" spc="-1" strike="noStrike">
                        <a:latin typeface="Arial"/>
                      </a:rPr>
                      <a:t>травления другими мониторируемыми видами  15,8%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Times New Roman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5"/>
                <c:pt idx="0">
                  <c:v>отравления спиртосодержащей продукцией </c:v>
                </c:pt>
                <c:pt idx="1">
                  <c:v>отравления наркотическими веществами </c:v>
                </c:pt>
                <c:pt idx="2">
                  <c:v>отравления лекарственными препаратами </c:v>
                </c:pt>
                <c:pt idx="3">
                  <c:v>отравления пищевыми продуктами  </c:v>
                </c:pt>
                <c:pt idx="4">
                  <c:v>отравления другими мониторируемыми видами 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41.6</c:v>
                </c:pt>
                <c:pt idx="1">
                  <c:v>38.6</c:v>
                </c:pt>
                <c:pt idx="2">
                  <c:v>3.9</c:v>
                </c:pt>
                <c:pt idx="3">
                  <c:v>0</c:v>
                </c:pt>
                <c:pt idx="4">
                  <c:v>15.8</c:v>
                </c:pt>
              </c:numCache>
            </c:numRef>
          </c:val>
        </c:ser>
      </c:pie3DChart>
    </c:plotArea>
    <c:plotVisOnly val="1"/>
    <c:dispBlanksAs val="zero"/>
  </c:chart>
  <c:spPr>
    <a:solidFill>
      <a:srgbClr val="ffffff"/>
    </a:solidFill>
    <a:ln w="9360">
      <a:noFill/>
    </a:ln>
  </c:spPr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LibreOffice/6.4.5.2$Windows_x86 LibreOffice_project/a726b36747cf2001e06b58ad5db1aa3a9a1872d6</Application>
  <Pages>21</Pages>
  <Words>2188</Words>
  <Characters>12486</Characters>
  <CharactersWithSpaces>14137</CharactersWithSpaces>
  <Paragraphs>640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2021-02-25T14:22:00Z</dcterms:created>
  <dc:creator>user01</dc:creator>
  <dc:description/>
  <dc:language>ru-RU</dc:language>
  <cp:lastModifiedBy>РПН</cp:lastModifiedBy>
  <dcterms:modified xsi:type="dcterms:W3CDTF">2021-02-26T04:18:00Z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